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2008/144 vom 3. September 2009</w:t>
      </w:r>
    </w:p>
    <w:p>
      <w:r>
        <w:t>Sg Versicherungsgericht, 2009-09-03, DE</w:t>
      </w:r>
    </w:p>
    <w:p>
      <w:r>
        <w:rPr>
          <w:b/>
        </w:rPr>
        <w:t xml:space="preserve">Quelle: </w:t>
      </w:r>
      <w:r>
        <w:t>https://mcp.opencaselaw.ch/entscheid/sg_publikationen_IV 2008_144</w:t>
      </w:r>
    </w:p>
    <w:p>
      <w:r>
        <w:t>FR: SG_VERSICHERUNGSGERICHT IV 2008/144 du 3 septembre 2009</w:t>
      </w:r>
    </w:p>
    <w:p>
      <w:r>
        <w:t>IT: SG_VERSICHERUNGSGERICHT IV 2008/144 del 3 settembre 2009</w:t>
      </w:r>
    </w:p>
    <w:p>
      <w:pPr>
        <w:pStyle w:val="Heading2"/>
      </w:pPr>
      <w:r>
        <w:t>Regeste</w:t>
      </w:r>
    </w:p>
    <w:p>
      <w:r>
        <w:t>Art. 17 IVG. Rentenrevision. Unbestritten ist, dass sich Gesundheitszustand objektiv verändert hat. Hingegen fehlt eine Beurteilung der Arbeitsfähigkeit. Rückweisung zu weiteren Abklärungen (Entscheid des Versicherungsgerichts des Kantons St. Gallen vom 3. September 2009, IV 2008/144).</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12. Februar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Rechtsanspruchs beruht (BGE 133 V 108), mit demjenigen zur Zeit der streitigen Neubeurteilung (BGE 130 V 351, E. 3.5.2; BGE 125 V 369, E. 2).</w:t>
      </w:r>
    </w:p>
    <w:p>
      <w:r>
        <w:rPr>
          <w:b/>
        </w:rPr>
        <w:t>E. 3</w:t>
      </w:r>
    </w:p>
    <w:p>
      <w:r>
        <w:t>Vorliegend ist die ablehnende Revisionsverfügung vom 12. Februar 2008 angefochten. Umstritten und zu prüfen ist in diesem Zusammenhang einzig, ob die Rente der Beschwerdeführerin im Rahmen des im September 2006 eingeleiteten Revisionsverfahrens zu erhöhen ist. Vorliegend nicht (mehr) bestritten ist demgegenüber, dass die Beschwerdeführerin für die Zeit davor seit der ursprünglichen Rentenzusprache Anspruch auf die Auszahlung einer halben Invalidenrente hat, wenngleich sich die Parteien nicht einig sind, ob es sich dabei um eine halbe Rente infolge eines Invaliditätsgrads von 50% (basierend auf einer entsprechenden Restarbeitsfähigkeit) oder um eine halbe Rente infolge Härtefall bei einem Invaliditätsgrad von 46% (basierend auf einer 71.6%igen Restarbeitsfähigkeit und einem 25%igen Leidensabzug) handelt. Diese Frage braucht vorliegend nicht abschliessend beantwortet zu werden. Immerhin fällt auf, dass die Beschwerdegegnerin die Verfügung vom 9. Oktober 2003 nicht in Wiedererwägung ziehen möchte (vgl. Beschwerdeantwort, S. 7), so dass diese Verfügung als Grundlage für die Rentenzusprache ab Oktober 2003 bestehen bleibt. Aus der angefochtenen Verfügung vom 12. Februar 2008 geht hervor, dass sich der Gesundheitszustand der Beschwerdeführerin objektiv verändert hat (act. G 8.1.81); dies ist unbestritten. Umstritten und nachfolgend zu prüfen ist hingegen, ob diese Veränderung einen Einfluss auf die Arbeitsfähigkeit bzw. auf den Invaliditätsgrad der Beschwerdeführerin hat.</w:t>
      </w:r>
    </w:p>
    <w:p>
      <w:r>
        <w:rPr>
          <w:b/>
        </w:rPr>
        <w:t>E. 4</w:t>
      </w:r>
    </w:p>
    <w:p>
      <w:r>
        <w:t>Die Beschwerdegegnerin hat eine Veränderung des Invaliditätsgrads gestützt auf das Gutachten von Dr. B.___ vom 22. März 2007 (act. G 8.1.61) verneint. Mit der Beschwerdeführerin ist jedoch davon auszugehen, dass dieses rein orthopädische Gutachten keine taugliche Grundlage zur Beurteilung der Arbeitsfähigkeit der Beschwerdeführerin und damit zu Beantwortung der Frage, ob sich der Invaliditätsgrad rentenerheblich verändert hat, darstellt. Zwar ist es, was die orthopädische Beurteilung anbelangt, durchaus plausibel und nachvollziehbar, doch klagte die Beschwerdeführerin anlässlich der betreffenden Untersuchung in erster Linie über internistische Beschwerden, die im Lauf der Zeit offenbar zugenommen haben. Mit diesen setzte sich Dr. B.___ ebenso wenig auseinander wie mit dem Bericht des Spitals Wattwil vom 29. Juli 2003 (act. G 8.1.45). Unter diesen Umständen kann nicht auf seine Arbeitsfähigkeitsschätzung abgestellt werden, beruht diese doch nicht auf allseitigen Untersuchungen. Auch sind seine Ausführungen zur Adipositas wenig erhellend. Er hielt eine Adipositas der Klasse III mit einem BMI 48 fest, während vor 10 Jahren noch ein BMI von 41 dokumentiert sei. Zwar erachtete er diese als Hauptursache für die eingeschränkte Arbeitsfähigkeit der Beschwerdeführerin, ohne sich aber zu den Auswirkungen der Gewichtszunahme zu äussern. In diesem Zusammenhang hielt er fest, es dürfe von der Beschwerdeführerin eine Gewichtsabnahme erwartet werden. Gleichzeitig hielt er eine Gewichtsreduktion jedoch kaum für realisierbar und rechnete prognostisch gar mit einer (weiteren) Gewichtszunahme (act. G 8.1.61-6). Im ZMB-Gutachten vom 16. Juni 1998 (act. G 8.1.11) wurde das massive Übergewicht der Beschwerdeführerin als abklärungsbedürftig bezeichnet und (auch im Zusammenhang mit dem beginnenden Hirsutismus) der Verdacht auf eine mögliche hormonale Störung geäussert. Gleichzeitig wurde erklärt, nur bei einer erheblichen Gewichtsreduktion könnte "möglicherweise" die Arbeitsfähigkeit "etwas" verbessert werden (act. G 8.1.11-14). Entsprechende Abklärungen sind in der Folge offenbar nie durchgeführt worden. Offen geblieben ist auch, ob bzw. wieweit eine Gewichtsreduktion die Arbeitsfähigkeit tatsächlich verbessern könnte, nachdem das ZMB im Jahr 1998 hier nur von einer Möglichkeit sprach. Ebenfalls offen ist, ob eine solche Massnahme der Beschwerdeführerin (noch) zugemutet werden kann. All diese Fragen sind nur im Rahmen einer polydisziplinären (Verlaufs-)Begutachtung zu klären.</w:t>
      </w:r>
    </w:p>
    <w:p>
      <w:r>
        <w:rPr>
          <w:b/>
        </w:rPr>
        <w:t>E. 5.1</w:t>
      </w:r>
    </w:p>
    <w:p>
      <w:r>
        <w:t>Im Sinne der vorstehenden Erwägungen ist die Beschwerde gutzuheissen, die angefochtene Verfügung vom 12. Februar 2008 aufzuheben und die Sache zur weiteren Abklärung und neuen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Diese Kosten sind von der unterliegenden Beschwerdegegnerin zu bezahlen. Der geleistete Kostenvorschuss von Fr. 600.-- wird der Beschwerdeführerin zurückerstattet.</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3'000.-- (inklusive Barauslagen und Mehrwertsteuer) als angemessen. Demgemäss hat das Versicherungsgericht entschieden: 1.  In Gutheissung der Beschwerde wird die angefochtene Verfügung vom 12. Februar 2008 aufgehoben, und die Streitsache wird zur weiteren Abklärung im Sinn der Erwägungen und zu anschliessender neuer Verfügung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